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1461" w14:textId="7913BC7D" w:rsidR="00B67F1C" w:rsidRPr="00307CD3" w:rsidRDefault="00B67F1C" w:rsidP="000F5DC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07CD3">
        <w:rPr>
          <w:rFonts w:ascii="Times New Roman" w:eastAsia="Times New Roman" w:hAnsi="Times New Roman" w:cs="Times New Roman"/>
          <w:bCs/>
          <w:lang w:eastAsia="ru-RU"/>
        </w:rPr>
        <w:t>Приложение 1</w:t>
      </w:r>
    </w:p>
    <w:p w14:paraId="26E56176" w14:textId="0444DAC9" w:rsidR="006E4C5D" w:rsidRPr="00307CD3" w:rsidRDefault="006E4C5D" w:rsidP="00B67F1C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307CD3">
        <w:rPr>
          <w:rFonts w:ascii="Times New Roman" w:eastAsia="Times New Roman" w:hAnsi="Times New Roman" w:cs="Times New Roman"/>
          <w:bCs/>
          <w:lang w:eastAsia="ru-RU"/>
        </w:rPr>
        <w:t>Стандарты шахматного оборудования и игровых площадок, предназначенных для проведения турниров ФШМ.</w:t>
      </w:r>
    </w:p>
    <w:p w14:paraId="393E5C46" w14:textId="380C9F2F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Подготовлено Судейско-квалификационной комиссией ФШМ 2022</w:t>
      </w:r>
    </w:p>
    <w:p w14:paraId="2866AAFE" w14:textId="77777777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Содержание: </w:t>
      </w:r>
    </w:p>
    <w:p w14:paraId="05BAA9A5" w14:textId="77777777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Введение </w:t>
      </w:r>
    </w:p>
    <w:p w14:paraId="650ACA79" w14:textId="77777777" w:rsidR="006E4C5D" w:rsidRPr="00307CD3" w:rsidRDefault="006E4C5D" w:rsidP="006E4C5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Шахматное оборудование </w:t>
      </w:r>
    </w:p>
    <w:p w14:paraId="6A067240" w14:textId="77777777" w:rsidR="006E4C5D" w:rsidRPr="00307CD3" w:rsidRDefault="006E4C5D" w:rsidP="006E4C5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Шахматные фигуры </w:t>
      </w:r>
    </w:p>
    <w:p w14:paraId="1459E97A" w14:textId="77777777" w:rsidR="006E4C5D" w:rsidRPr="00307CD3" w:rsidRDefault="006E4C5D" w:rsidP="006E4C5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Шахматные доски </w:t>
      </w:r>
    </w:p>
    <w:p w14:paraId="585EBA32" w14:textId="77777777" w:rsidR="006E4C5D" w:rsidRPr="00307CD3" w:rsidRDefault="006E4C5D" w:rsidP="006E4C5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Шахматные столы </w:t>
      </w:r>
    </w:p>
    <w:p w14:paraId="4519F7F1" w14:textId="77777777" w:rsidR="006E4C5D" w:rsidRPr="00307CD3" w:rsidRDefault="006E4C5D" w:rsidP="006E4C5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Шахматные часы </w:t>
      </w:r>
    </w:p>
    <w:p w14:paraId="3EC4DB56" w14:textId="175CE1EF" w:rsidR="006E4C5D" w:rsidRPr="00307CD3" w:rsidRDefault="006E4C5D" w:rsidP="006E4C5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Турнирные залы для Чемпионатов, первенств, кубков Москвы</w:t>
      </w:r>
    </w:p>
    <w:p w14:paraId="4632B045" w14:textId="77777777" w:rsidR="006E4C5D" w:rsidRPr="00307CD3" w:rsidRDefault="006E4C5D" w:rsidP="006E4C5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Проверка часов и оборудования </w:t>
      </w:r>
    </w:p>
    <w:p w14:paraId="35004568" w14:textId="77777777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Введение </w:t>
      </w:r>
    </w:p>
    <w:p w14:paraId="667363D9" w14:textId="77FDC3D5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В данном документы определены общие стандарты для шахматного оборудования и условий игры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которые подлежат использованию при проведении соревнований 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ФШМ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3CA5718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1. Шахматное оборудование </w:t>
      </w:r>
    </w:p>
    <w:p w14:paraId="17801BAF" w14:textId="4D473BDF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Шахматное оборудование, предлагаемое организаторами чемпионатов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, кубков и первенств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Москвы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, должно соответствовать указанным ниже стандартам и должно быть одобрено Главным организатором и Главным арбитром. </w:t>
      </w:r>
    </w:p>
    <w:p w14:paraId="28B2DA06" w14:textId="242E45BC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1.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1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Настоятельно рекомендуется, чтобы оборудование, используемое во время соревнования, было одинаковым для всех участников и для всех партий. </w:t>
      </w:r>
    </w:p>
    <w:p w14:paraId="7062DCA9" w14:textId="77777777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2. Шахматные фигуры</w:t>
      </w:r>
      <w:r w:rsidRPr="00307CD3">
        <w:rPr>
          <w:rFonts w:ascii="Times New Roman" w:eastAsia="Times New Roman" w:hAnsi="Times New Roman" w:cs="Times New Roman"/>
          <w:lang w:eastAsia="ru-RU"/>
        </w:rPr>
        <w:br/>
        <w:t>2.1 Материал</w:t>
      </w:r>
      <w:r w:rsidRPr="00307CD3">
        <w:rPr>
          <w:rFonts w:ascii="Times New Roman" w:eastAsia="Times New Roman" w:hAnsi="Times New Roman" w:cs="Times New Roman"/>
          <w:lang w:eastAsia="ru-RU"/>
        </w:rPr>
        <w:br/>
        <w:t xml:space="preserve">Следует использовать шахматные фигуры, изготовленные из дерева, пластмассы или имитации данных материалов. </w:t>
      </w:r>
    </w:p>
    <w:p w14:paraId="1BB84059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2.2 Высота, вес, пропорции </w:t>
      </w:r>
    </w:p>
    <w:p w14:paraId="0689610A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Размер фигур следует выбирать пропорционально их высоте и форме; также могут учитываться другие элементы, такие как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устойчивость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, соображения эстетического порядка и т.д. Вес фигур следует выбирать таким образом, чтобы их было удобно передвигать, и они были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устойчивыми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5C73C7" w14:textId="7396EC92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Рекомендуется следующая высота фигур: король – 9,5 см, ферзь – 8,5 см, слон – 7 см, конь – 6 см, ладья – 5,5 см и пешка – 5 см.</w:t>
      </w:r>
      <w:r w:rsidRPr="00307CD3">
        <w:rPr>
          <w:rFonts w:ascii="Times New Roman" w:eastAsia="Times New Roman" w:hAnsi="Times New Roman" w:cs="Times New Roman"/>
          <w:lang w:eastAsia="ru-RU"/>
        </w:rPr>
        <w:br/>
        <w:t>Следует использовать фигуры с диаметром основания 40-50% от ее высоты.</w:t>
      </w:r>
      <w:r w:rsidRPr="00307CD3">
        <w:rPr>
          <w:rFonts w:ascii="Times New Roman" w:eastAsia="Times New Roman" w:hAnsi="Times New Roman" w:cs="Times New Roman"/>
          <w:lang w:eastAsia="ru-RU"/>
        </w:rPr>
        <w:br/>
        <w:t xml:space="preserve">Данные размеры могут отличаться от приведенных выше рекомендаций в пределах 10%, но порядок (например, король выше, чем ферзь) должен быть обязательно сохранен. </w:t>
      </w:r>
    </w:p>
    <w:p w14:paraId="7FFE94FF" w14:textId="77777777" w:rsidR="00B67F1C" w:rsidRPr="00307CD3" w:rsidRDefault="00B67F1C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78D28D81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2.3 Форма, стиль фигур </w:t>
      </w:r>
    </w:p>
    <w:p w14:paraId="408B8380" w14:textId="1FE5730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На соревнованиях 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ФШР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рекомендуется использовать фигуры в стиле «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Стаунтон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». Следует использовать фигуры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такои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формы, чтобы их можно было легко отличить друг от друга. В частности, нужно, чтобы верхняя часть короля явно отличалась от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верхнеи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части ферзя. В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верхнеи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части слона может быть паз, или она может быть особого цвета, чем будет явно отличаться от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верхнеи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части пешки. </w:t>
      </w:r>
    </w:p>
    <w:p w14:paraId="4340A63C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Примеры шахматных фигур: </w:t>
      </w:r>
    </w:p>
    <w:p w14:paraId="22361262" w14:textId="77777777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lastRenderedPageBreak/>
        <w:t xml:space="preserve">Оригинальные шахматные фигуры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Стаунтон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>, слева направо: пешка, ладья, конь, слон, ферзь и король</w:t>
      </w:r>
      <w:r w:rsidRPr="00307CD3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Современныи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комплект в стиле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Стаунтон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, выполнен из дерева </w:t>
      </w:r>
    </w:p>
    <w:p w14:paraId="0F6BF120" w14:textId="19A09F86" w:rsidR="006E4C5D" w:rsidRPr="00307CD3" w:rsidRDefault="006E4C5D" w:rsidP="006E4C5D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fldChar w:fldCharType="begin"/>
      </w:r>
      <w:r w:rsidR="000F5DCC" w:rsidRPr="00307CD3">
        <w:rPr>
          <w:rFonts w:ascii="Times New Roman" w:eastAsia="Times New Roman" w:hAnsi="Times New Roman" w:cs="Times New Roman"/>
          <w:lang w:eastAsia="ru-RU"/>
        </w:rPr>
        <w:instrText xml:space="preserve"> INCLUDEPICTURE "C:\\var\\folders\\k6\\_qccnyzn1g3cz3dwqlwy1mtm0000gn\\T\\com.microsoft.Word\\WebArchiveCopyPasteTempFiles\\page3image535549552" \* MERGEFORMAT </w:instrText>
      </w:r>
      <w:r w:rsidRPr="00307CD3">
        <w:rPr>
          <w:rFonts w:ascii="Times New Roman" w:eastAsia="Times New Roman" w:hAnsi="Times New Roman" w:cs="Times New Roman"/>
          <w:lang w:eastAsia="ru-RU"/>
        </w:rPr>
        <w:fldChar w:fldCharType="end"/>
      </w:r>
      <w:r w:rsidR="00B67F1C" w:rsidRPr="00307C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E636F33" wp14:editId="0C51D421">
            <wp:extent cx="5695950" cy="2243455"/>
            <wp:effectExtent l="0" t="0" r="0" b="4445"/>
            <wp:docPr id="81" name="Рисунок 81" descr="page3image53554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5355495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40" cy="226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E22F4" w14:textId="6F811D2D" w:rsidR="006E4C5D" w:rsidRPr="00307CD3" w:rsidRDefault="006E4C5D" w:rsidP="006E4C5D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fldChar w:fldCharType="begin"/>
      </w:r>
      <w:r w:rsidR="000F5DCC" w:rsidRPr="00307CD3">
        <w:rPr>
          <w:rFonts w:ascii="Times New Roman" w:eastAsia="Times New Roman" w:hAnsi="Times New Roman" w:cs="Times New Roman"/>
          <w:lang w:eastAsia="ru-RU"/>
        </w:rPr>
        <w:instrText xml:space="preserve"> INCLUDEPICTURE "C:\\var\\folders\\k6\\_qccnyzn1g3cz3dwqlwy1mtm0000gn\\T\\com.microsoft.Word\\WebArchiveCopyPasteTempFiles\\page4image1118069920" \* MERGEFORMAT </w:instrText>
      </w:r>
      <w:r w:rsidRPr="00307C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07C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5463CC2" wp14:editId="5FBA1B48">
            <wp:extent cx="5648325" cy="2301240"/>
            <wp:effectExtent l="0" t="0" r="9525" b="3810"/>
            <wp:docPr id="80" name="Рисунок 80" descr="page4image111806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4image11180699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724" cy="233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CD3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7E1567F0" w14:textId="4D9733A6" w:rsidR="006E4C5D" w:rsidRPr="00307CD3" w:rsidRDefault="006E4C5D" w:rsidP="006E4C5D">
      <w:pPr>
        <w:rPr>
          <w:rFonts w:ascii="Times New Roman" w:eastAsia="Times New Roman" w:hAnsi="Times New Roman" w:cs="Times New Roman"/>
          <w:lang w:eastAsia="ru-RU"/>
        </w:rPr>
      </w:pPr>
    </w:p>
    <w:p w14:paraId="3CA55021" w14:textId="2CFFE040" w:rsidR="00D261FB" w:rsidRPr="00307CD3" w:rsidRDefault="00D261FB" w:rsidP="006E4C5D">
      <w:pPr>
        <w:rPr>
          <w:rFonts w:ascii="Times New Roman" w:eastAsia="Times New Roman" w:hAnsi="Times New Roman" w:cs="Times New Roman"/>
          <w:lang w:eastAsia="ru-RU"/>
        </w:rPr>
      </w:pPr>
    </w:p>
    <w:p w14:paraId="164155F4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2.4 Цвет фигур </w:t>
      </w:r>
    </w:p>
    <w:p w14:paraId="638B3D8B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Для «Черных» фигур следует использовать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коричневыи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или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черныи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цвет, или любые другие темные оттенки этих цветов. «Белые» фигуры могут быть белыми или кремовыми, или других светлых цветов. В этих целях можно также использовать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естественныи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цвет дерева (орех, клен и т.д.). Фигуры не должны блестеть и должны быть приятны для глаз. </w:t>
      </w:r>
    </w:p>
    <w:p w14:paraId="6D88AFC8" w14:textId="1A3AB58D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3. Шахматные доски</w:t>
      </w:r>
      <w:r w:rsidRPr="00307CD3">
        <w:rPr>
          <w:rFonts w:ascii="Times New Roman" w:eastAsia="Times New Roman" w:hAnsi="Times New Roman" w:cs="Times New Roman"/>
          <w:lang w:eastAsia="ru-RU"/>
        </w:rPr>
        <w:br/>
        <w:t>3.1. Материал и цвет</w:t>
      </w:r>
      <w:r w:rsidRPr="00307CD3">
        <w:rPr>
          <w:rFonts w:ascii="Times New Roman" w:eastAsia="Times New Roman" w:hAnsi="Times New Roman" w:cs="Times New Roman"/>
          <w:lang w:eastAsia="ru-RU"/>
        </w:rPr>
        <w:br/>
      </w:r>
      <w:r w:rsidR="00D261FB" w:rsidRPr="00307CD3">
        <w:rPr>
          <w:rFonts w:ascii="Times New Roman" w:eastAsia="Times New Roman" w:hAnsi="Times New Roman" w:cs="Times New Roman"/>
          <w:lang w:eastAsia="ru-RU"/>
        </w:rPr>
        <w:t>Р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екомендуются доски из дерева, пластмассы или картона. В любом случае, следует использовать жесткие доски. Доска может также быть из камня или мрамора с соответствующими светлыми и темными цветами, при условии, что Организатор и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Главныи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арбитр считают это приемлемым. Также для досок можно использовать натуральную древесину, обеспечивающую достаточную контрастность, например, береза, клен или ясень в сравнении с орехом, тиком, буком и т.д., которая должна иметь матовую или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нейтральную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 отделку и не должна блестеть.</w:t>
      </w:r>
      <w:r w:rsidRPr="00307CD3">
        <w:rPr>
          <w:rFonts w:ascii="Times New Roman" w:eastAsia="Times New Roman" w:hAnsi="Times New Roman" w:cs="Times New Roman"/>
          <w:lang w:eastAsia="ru-RU"/>
        </w:rPr>
        <w:br/>
        <w:t xml:space="preserve">В дополнение к натуральным цветам для шахматных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полеи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также можно использовать сочетание цветов, таких как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коричневыи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̆,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зеленыи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или очень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светлыи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рыжевато-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коричневыи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и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белыи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̆,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кремовыи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̆, не совсем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белыи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цвет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слоновои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>̆ кости, светло-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желтыи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и т.д. </w:t>
      </w:r>
    </w:p>
    <w:p w14:paraId="2FCC875D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3.2. Размер клетки и доски </w:t>
      </w:r>
    </w:p>
    <w:p w14:paraId="5471D06D" w14:textId="53C73C54" w:rsidR="006E4C5D" w:rsidRPr="00307CD3" w:rsidRDefault="006E4C5D" w:rsidP="00B67F1C">
      <w:pPr>
        <w:spacing w:before="240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Следует использовать доски с размером клетки, </w:t>
      </w:r>
      <w:r w:rsidR="00DE543B" w:rsidRPr="00307CD3">
        <w:rPr>
          <w:rFonts w:ascii="Times New Roman" w:eastAsia="Times New Roman" w:hAnsi="Times New Roman" w:cs="Times New Roman"/>
          <w:lang w:eastAsia="ru-RU"/>
        </w:rPr>
        <w:t>который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составляет 5- 6 см. Со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ссылкои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на пункт 2.2 следует, чтобы сторона клетки составляла, как минимум, два диаметра основания пешки (это обозначает четыре пешки на одном поле). </w:t>
      </w:r>
      <w:r w:rsidR="00DE543B" w:rsidRPr="00307CD3">
        <w:rPr>
          <w:rFonts w:ascii="Times New Roman" w:eastAsia="Times New Roman" w:hAnsi="Times New Roman" w:cs="Times New Roman"/>
          <w:lang w:eastAsia="ru-RU"/>
        </w:rPr>
        <w:t>Удобный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стол </w:t>
      </w:r>
      <w:r w:rsidR="00DE543B" w:rsidRPr="00307CD3">
        <w:rPr>
          <w:rFonts w:ascii="Times New Roman" w:eastAsia="Times New Roman" w:hAnsi="Times New Roman" w:cs="Times New Roman"/>
          <w:lang w:eastAsia="ru-RU"/>
        </w:rPr>
        <w:t>соответствующей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высоты может быть оборудован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встроеннои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доскои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̆. Если стол и доска не соединены друг с другом, последняя должна быть закреплена, что исключит ее движение во время игры. </w:t>
      </w:r>
    </w:p>
    <w:p w14:paraId="2D55D70A" w14:textId="77777777" w:rsidR="006E4C5D" w:rsidRPr="00307CD3" w:rsidRDefault="006E4C5D" w:rsidP="00B67F1C">
      <w:pPr>
        <w:spacing w:before="120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lastRenderedPageBreak/>
        <w:t xml:space="preserve">4. Шахматные столы </w:t>
      </w:r>
    </w:p>
    <w:p w14:paraId="5127749F" w14:textId="18ABE593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Для всех официальных турниров 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ФШМ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длина стола составляет </w:t>
      </w:r>
      <w:r w:rsidR="00AE7433" w:rsidRPr="00307CD3">
        <w:rPr>
          <w:rFonts w:ascii="Times New Roman" w:eastAsia="Times New Roman" w:hAnsi="Times New Roman" w:cs="Times New Roman"/>
          <w:lang w:eastAsia="ru-RU"/>
        </w:rPr>
        <w:t>не менее 8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0 см. Ширина составляет </w:t>
      </w:r>
      <w:r w:rsidR="00AE7433" w:rsidRPr="00307CD3">
        <w:rPr>
          <w:rFonts w:ascii="Times New Roman" w:eastAsia="Times New Roman" w:hAnsi="Times New Roman" w:cs="Times New Roman"/>
          <w:lang w:eastAsia="ru-RU"/>
        </w:rPr>
        <w:t>75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см. Высота стола составляет 74 см.</w:t>
      </w:r>
      <w:r w:rsidR="00AE7433" w:rsidRPr="00307CD3">
        <w:rPr>
          <w:rFonts w:ascii="Times New Roman" w:eastAsia="Times New Roman" w:hAnsi="Times New Roman" w:cs="Times New Roman"/>
          <w:lang w:eastAsia="ru-RU"/>
        </w:rPr>
        <w:t xml:space="preserve"> (для одно пары игроков) или длина 150 см. Ширина 75 см. (для двух пар игроков)</w:t>
      </w:r>
      <w:r w:rsidRPr="00307CD3">
        <w:rPr>
          <w:rFonts w:ascii="Times New Roman" w:eastAsia="Times New Roman" w:hAnsi="Times New Roman" w:cs="Times New Roman"/>
          <w:lang w:eastAsia="ru-RU"/>
        </w:rPr>
        <w:br/>
        <w:t xml:space="preserve">Для детских соревнований возможно специальное смягчение требований. </w:t>
      </w:r>
    </w:p>
    <w:p w14:paraId="71B1D75E" w14:textId="440BA8B1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Стулья должны быть удобными для игроков.</w:t>
      </w:r>
      <w:r w:rsidRPr="00307CD3">
        <w:rPr>
          <w:rFonts w:ascii="Times New Roman" w:eastAsia="Times New Roman" w:hAnsi="Times New Roman" w:cs="Times New Roman"/>
          <w:lang w:eastAsia="ru-RU"/>
        </w:rPr>
        <w:br/>
        <w:t xml:space="preserve">Необходимо исключить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любои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шум при передвижении стульев. </w:t>
      </w:r>
    </w:p>
    <w:p w14:paraId="4EA028A9" w14:textId="77777777" w:rsidR="006E4C5D" w:rsidRPr="00307CD3" w:rsidRDefault="006E4C5D" w:rsidP="000F5DCC">
      <w:pPr>
        <w:spacing w:before="100" w:before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5. Шахматные часы </w:t>
      </w:r>
    </w:p>
    <w:p w14:paraId="7144AA71" w14:textId="1B65ADB2" w:rsidR="006E4C5D" w:rsidRPr="00307CD3" w:rsidRDefault="006E4C5D" w:rsidP="000F5DC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Для чемпионатов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, кубков и первенств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61FB" w:rsidRPr="00307CD3">
        <w:rPr>
          <w:rFonts w:ascii="Times New Roman" w:eastAsia="Times New Roman" w:hAnsi="Times New Roman" w:cs="Times New Roman"/>
          <w:lang w:eastAsia="ru-RU"/>
        </w:rPr>
        <w:t>ФШМ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 должны использоваться электронные часы. Для других турниров </w:t>
      </w:r>
      <w:r w:rsidR="00E14087" w:rsidRPr="00307CD3">
        <w:rPr>
          <w:rFonts w:ascii="Times New Roman" w:eastAsia="Times New Roman" w:hAnsi="Times New Roman" w:cs="Times New Roman"/>
          <w:lang w:eastAsia="ru-RU"/>
        </w:rPr>
        <w:t xml:space="preserve">без добавления времени в крайнем случае допускается </w:t>
      </w:r>
      <w:r w:rsidRPr="00307CD3">
        <w:rPr>
          <w:rFonts w:ascii="Times New Roman" w:eastAsia="Times New Roman" w:hAnsi="Times New Roman" w:cs="Times New Roman"/>
          <w:lang w:eastAsia="ru-RU"/>
        </w:rPr>
        <w:t xml:space="preserve">использовать механические часы. </w:t>
      </w:r>
    </w:p>
    <w:p w14:paraId="724BA317" w14:textId="30163172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Если используются механические часы, следует, чтобы они были оснащены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устройством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 («флажком»), точно сигнализирующим, когда часовая стрелка показывает </w:t>
      </w:r>
      <w:proofErr w:type="spellStart"/>
      <w:r w:rsidRPr="00307CD3">
        <w:rPr>
          <w:rFonts w:ascii="Times New Roman" w:eastAsia="Times New Roman" w:hAnsi="Times New Roman" w:cs="Times New Roman"/>
          <w:lang w:eastAsia="ru-RU"/>
        </w:rPr>
        <w:t>полныи</w:t>
      </w:r>
      <w:proofErr w:type="spellEnd"/>
      <w:r w:rsidRPr="00307CD3">
        <w:rPr>
          <w:rFonts w:ascii="Times New Roman" w:eastAsia="Times New Roman" w:hAnsi="Times New Roman" w:cs="Times New Roman"/>
          <w:lang w:eastAsia="ru-RU"/>
        </w:rPr>
        <w:t xml:space="preserve">̆ час. Флажок должен быть расположен таким образом, чтобы его падение было четко видно, что помогает арбитрам и игрокам контролировать время. Часы не должны отражать свет, так как это может затруднять видимость. Следует, чтобы звук хода часов был как можно тише, чтобы не беспокоить игроков во время игры. </w:t>
      </w:r>
    </w:p>
    <w:p w14:paraId="5ABC94E0" w14:textId="77777777" w:rsidR="006E4C5D" w:rsidRPr="00307CD3" w:rsidRDefault="006E4C5D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В течение турнира следует использовать часы одного и того же типа. </w:t>
      </w:r>
    </w:p>
    <w:p w14:paraId="0FA84865" w14:textId="07ECE13F" w:rsidR="006E4C5D" w:rsidRPr="00307CD3" w:rsidRDefault="006E4C5D" w:rsidP="000F5DCC">
      <w:pPr>
        <w:spacing w:before="100" w:before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5.1. Требования к электронным часам </w:t>
      </w:r>
    </w:p>
    <w:p w14:paraId="45EDF733" w14:textId="1A287AFC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а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часы должны работать в точном соответствии с Правилами </w:t>
      </w:r>
      <w:r w:rsidRPr="00307CD3">
        <w:rPr>
          <w:rFonts w:ascii="Times New Roman" w:eastAsia="Times New Roman" w:hAnsi="Times New Roman" w:cs="Times New Roman"/>
          <w:lang w:eastAsia="ru-RU"/>
        </w:rPr>
        <w:t>вида спорта «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шахмат</w:t>
      </w:r>
      <w:r w:rsidRPr="00307CD3">
        <w:rPr>
          <w:rFonts w:ascii="Times New Roman" w:eastAsia="Times New Roman" w:hAnsi="Times New Roman" w:cs="Times New Roman"/>
          <w:lang w:eastAsia="ru-RU"/>
        </w:rPr>
        <w:t>ы» утвержденными Министерством спорта Российской Федерации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5313552" w14:textId="1E02C774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б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дисплей должен всегда показывать время, имеющееся у игрока для завершения следующего хода. </w:t>
      </w:r>
    </w:p>
    <w:p w14:paraId="5BD763CD" w14:textId="022120E3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в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информация на дисплее должна быть разборчиво видна с расстояния, как минимум, 3 метра.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г)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с расстояния, как минимум, 10 метров игрок должен четко видеть индикацию того, чьи часы идут. </w:t>
      </w:r>
    </w:p>
    <w:p w14:paraId="711CA794" w14:textId="328FC5BF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д)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в случае если контроль времени </w:t>
      </w:r>
      <w:r w:rsidRPr="00307CD3">
        <w:rPr>
          <w:rFonts w:ascii="Times New Roman" w:eastAsia="Times New Roman" w:hAnsi="Times New Roman" w:cs="Times New Roman"/>
          <w:lang w:eastAsia="ru-RU"/>
        </w:rPr>
        <w:t>пройден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, знак на дисплее должен четко указывать, </w:t>
      </w:r>
      <w:r w:rsidRPr="00307CD3">
        <w:rPr>
          <w:rFonts w:ascii="Times New Roman" w:eastAsia="Times New Roman" w:hAnsi="Times New Roman" w:cs="Times New Roman"/>
          <w:lang w:eastAsia="ru-RU"/>
        </w:rPr>
        <w:t>какой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игрок первым прошел контроль времени.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е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для часов, работающих от батареи, необходима индикация низкого заряда батареи.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ж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в случае индикации низкого заряда батареи часы должны продолжать </w:t>
      </w:r>
      <w:r w:rsidRPr="00307CD3">
        <w:rPr>
          <w:rFonts w:ascii="Times New Roman" w:eastAsia="Times New Roman" w:hAnsi="Times New Roman" w:cs="Times New Roman"/>
          <w:lang w:eastAsia="ru-RU"/>
        </w:rPr>
        <w:t>бесперебойно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идти, как минимум, в течение 10 часов. </w:t>
      </w:r>
    </w:p>
    <w:p w14:paraId="7355DF7C" w14:textId="397F14C5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з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специальное внимание следует уделить правильному оповещению о прохождении контроля времени.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к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в случае с режимами с накоплением или </w:t>
      </w:r>
      <w:r w:rsidRPr="00307CD3">
        <w:rPr>
          <w:rFonts w:ascii="Times New Roman" w:eastAsia="Times New Roman" w:hAnsi="Times New Roman" w:cs="Times New Roman"/>
          <w:lang w:eastAsia="ru-RU"/>
        </w:rPr>
        <w:t>задержкой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времени не следует, чтобы часы добавляли какое-либо дополнительное время, если игрок прошел </w:t>
      </w:r>
      <w:proofErr w:type="spellStart"/>
      <w:r w:rsidR="006E4C5D" w:rsidRPr="00307CD3">
        <w:rPr>
          <w:rFonts w:ascii="Times New Roman" w:eastAsia="Times New Roman" w:hAnsi="Times New Roman" w:cs="Times New Roman"/>
          <w:lang w:eastAsia="ru-RU"/>
        </w:rPr>
        <w:t>последнии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̆ контроль времени. </w:t>
      </w:r>
    </w:p>
    <w:p w14:paraId="406B88AA" w14:textId="45D984E2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л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в случае использования временных штрафных санкций арбитр должен иметь возможность выполнить корректировку времени и счетчика ходов в течение 60 секунд.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м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необходимо исключить возможность стереть или изменить данные на дисплее простой </w:t>
      </w:r>
      <w:r w:rsidRPr="00307CD3">
        <w:rPr>
          <w:rFonts w:ascii="Times New Roman" w:eastAsia="Times New Roman" w:hAnsi="Times New Roman" w:cs="Times New Roman"/>
          <w:lang w:eastAsia="ru-RU"/>
        </w:rPr>
        <w:t>операцией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866BBE5" w14:textId="1BB840D1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н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к часам должна быть приложена краткая инструкция по эксплуатации для часов.</w:t>
      </w:r>
    </w:p>
    <w:p w14:paraId="18432DBD" w14:textId="77777777" w:rsidR="006E4C5D" w:rsidRPr="00307CD3" w:rsidRDefault="006E4C5D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 xml:space="preserve">5.2. Электронные шахматные часы, одобренные ФИДЕ </w:t>
      </w:r>
    </w:p>
    <w:p w14:paraId="4B106E24" w14:textId="25F512A8" w:rsidR="006E4C5D" w:rsidRPr="00307CD3" w:rsidRDefault="00AE7433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а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DGT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XL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(2007)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б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DGT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2010 (2010) (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c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Silver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Timer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(2007) (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d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“</w:t>
      </w:r>
      <w:proofErr w:type="spellStart"/>
      <w:r w:rsidR="006E4C5D" w:rsidRPr="00307CD3">
        <w:rPr>
          <w:rFonts w:ascii="Times New Roman" w:eastAsia="Times New Roman" w:hAnsi="Times New Roman" w:cs="Times New Roman"/>
          <w:lang w:val="en-US" w:eastAsia="ru-RU"/>
        </w:rPr>
        <w:t>Sistemco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” (2009) </w:t>
      </w:r>
      <w:r w:rsidR="00DE543B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в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E4C5D" w:rsidRPr="00307CD3">
        <w:rPr>
          <w:rFonts w:ascii="Times New Roman" w:eastAsia="Times New Roman" w:hAnsi="Times New Roman" w:cs="Times New Roman"/>
          <w:lang w:val="en-US" w:eastAsia="ru-RU"/>
        </w:rPr>
        <w:t>DGT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3000 (2014) </w:t>
      </w:r>
    </w:p>
    <w:p w14:paraId="55DDE8EF" w14:textId="70559CA6" w:rsidR="006E4C5D" w:rsidRPr="00307CD3" w:rsidRDefault="00AE7433" w:rsidP="006E4C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6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. Турнирные залы для чемпионатов</w:t>
      </w:r>
      <w:r w:rsidRPr="00307CD3">
        <w:rPr>
          <w:rFonts w:ascii="Times New Roman" w:eastAsia="Times New Roman" w:hAnsi="Times New Roman" w:cs="Times New Roman"/>
          <w:lang w:eastAsia="ru-RU"/>
        </w:rPr>
        <w:t>, кубков и первенств Москвы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6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.1. Проверка и подготовка игрового зала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а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Главному организатору и Главному арбитру следует внимательно проверить все зоны, к которым у игроков имеется доступ во время игры.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б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Должно быть подготовлено место для </w:t>
      </w:r>
      <w:proofErr w:type="spellStart"/>
      <w:r w:rsidR="006E4C5D" w:rsidRPr="00307CD3">
        <w:rPr>
          <w:rFonts w:ascii="Times New Roman" w:eastAsia="Times New Roman" w:hAnsi="Times New Roman" w:cs="Times New Roman"/>
          <w:lang w:eastAsia="ru-RU"/>
        </w:rPr>
        <w:t>зрителеи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>̆. Следует соблюдать расстояние между шахматными досками и зрителями не менее одного метра</w:t>
      </w:r>
      <w:r w:rsidRPr="00307CD3">
        <w:rPr>
          <w:rFonts w:ascii="Times New Roman" w:eastAsia="Times New Roman" w:hAnsi="Times New Roman" w:cs="Times New Roman"/>
          <w:lang w:eastAsia="ru-RU"/>
        </w:rPr>
        <w:t>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в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Следует обеспечить освещение по стандарту, аналогичному тому, </w:t>
      </w:r>
      <w:proofErr w:type="spellStart"/>
      <w:r w:rsidR="006E4C5D" w:rsidRPr="00307CD3">
        <w:rPr>
          <w:rFonts w:ascii="Times New Roman" w:eastAsia="Times New Roman" w:hAnsi="Times New Roman" w:cs="Times New Roman"/>
          <w:lang w:eastAsia="ru-RU"/>
        </w:rPr>
        <w:t>которыи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̆ используется для экзаменов, равное около 750 люкс. Освещение не должно отбрасывать тени или быть </w:t>
      </w:r>
      <w:proofErr w:type="spellStart"/>
      <w:r w:rsidR="006E4C5D" w:rsidRPr="00307CD3">
        <w:rPr>
          <w:rFonts w:ascii="Times New Roman" w:eastAsia="Times New Roman" w:hAnsi="Times New Roman" w:cs="Times New Roman"/>
          <w:lang w:eastAsia="ru-RU"/>
        </w:rPr>
        <w:t>причинои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̆ возникновения </w:t>
      </w:r>
      <w:proofErr w:type="spellStart"/>
      <w:r w:rsidR="006E4C5D" w:rsidRPr="00307CD3">
        <w:rPr>
          <w:rFonts w:ascii="Times New Roman" w:eastAsia="Times New Roman" w:hAnsi="Times New Roman" w:cs="Times New Roman"/>
          <w:lang w:eastAsia="ru-RU"/>
        </w:rPr>
        <w:t>лучеи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̆ света, отражаемых от фигур. Необходимо обратить внимание на </w:t>
      </w:r>
      <w:proofErr w:type="spellStart"/>
      <w:r w:rsidR="006E4C5D" w:rsidRPr="00307CD3">
        <w:rPr>
          <w:rFonts w:ascii="Times New Roman" w:eastAsia="Times New Roman" w:hAnsi="Times New Roman" w:cs="Times New Roman"/>
          <w:lang w:eastAsia="ru-RU"/>
        </w:rPr>
        <w:t>прямои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="006E4C5D" w:rsidRPr="00307CD3">
        <w:rPr>
          <w:rFonts w:ascii="Times New Roman" w:eastAsia="Times New Roman" w:hAnsi="Times New Roman" w:cs="Times New Roman"/>
          <w:lang w:eastAsia="ru-RU"/>
        </w:rPr>
        <w:t>солнечныи</w:t>
      </w:r>
      <w:proofErr w:type="spellEnd"/>
      <w:r w:rsidR="006E4C5D" w:rsidRPr="00307CD3">
        <w:rPr>
          <w:rFonts w:ascii="Times New Roman" w:eastAsia="Times New Roman" w:hAnsi="Times New Roman" w:cs="Times New Roman"/>
          <w:lang w:eastAsia="ru-RU"/>
        </w:rPr>
        <w:t>̆ свет, особенно если он меняется в процессе игры.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г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) также необходимо проверить уровни внешнего шума рядом с турнирным залом. </w:t>
      </w:r>
    </w:p>
    <w:p w14:paraId="3D3E06F9" w14:textId="533308C2" w:rsidR="006E4C5D" w:rsidRPr="00307CD3" w:rsidRDefault="00AE7433" w:rsidP="000F5DCC">
      <w:pPr>
        <w:spacing w:before="100" w:beforeAutospacing="1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6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.2. Пространство для игроков и арбитров </w:t>
      </w:r>
    </w:p>
    <w:p w14:paraId="3E998E51" w14:textId="25D9E9D0" w:rsidR="006E4C5D" w:rsidRPr="00307CD3" w:rsidRDefault="00AE7433" w:rsidP="00B67F1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lastRenderedPageBreak/>
        <w:t>а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рекомендуется, чтобы для каждого игрока в турнирах обеспечивалось минимальное пространство, равное 2 квадратных метров</w:t>
      </w:r>
      <w:r w:rsidRPr="00307CD3">
        <w:rPr>
          <w:rFonts w:ascii="Times New Roman" w:eastAsia="Times New Roman" w:hAnsi="Times New Roman" w:cs="Times New Roman"/>
          <w:lang w:eastAsia="ru-RU"/>
        </w:rPr>
        <w:t>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9E4B8E1" w14:textId="4F457865" w:rsidR="006E4C5D" w:rsidRPr="00307CD3" w:rsidRDefault="00AE7433" w:rsidP="000F5DCC">
      <w:pPr>
        <w:spacing w:after="240"/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б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>) не следует располагать столы слишком близко к двери.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br/>
      </w:r>
      <w:r w:rsidRPr="00307CD3">
        <w:rPr>
          <w:rFonts w:ascii="Times New Roman" w:eastAsia="Times New Roman" w:hAnsi="Times New Roman" w:cs="Times New Roman"/>
          <w:lang w:eastAsia="ru-RU"/>
        </w:rPr>
        <w:t>в)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Следует обеспечить по возможности максимально равные игровые условия для всех игроков, участвующих в соревновании (особенно для обоих игроков в партии). </w:t>
      </w:r>
    </w:p>
    <w:p w14:paraId="703C969F" w14:textId="2AEA7260" w:rsidR="006E4C5D" w:rsidRPr="00307CD3" w:rsidRDefault="00AE7433" w:rsidP="000F5DC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7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. Проверка часов и оборудования </w:t>
      </w:r>
    </w:p>
    <w:p w14:paraId="521D3708" w14:textId="126AF9E3" w:rsidR="000E281E" w:rsidRPr="00307CD3" w:rsidRDefault="00AE7433" w:rsidP="000F5DCC">
      <w:pPr>
        <w:rPr>
          <w:rFonts w:ascii="Times New Roman" w:eastAsia="Times New Roman" w:hAnsi="Times New Roman" w:cs="Times New Roman"/>
          <w:lang w:eastAsia="ru-RU"/>
        </w:rPr>
      </w:pPr>
      <w:r w:rsidRPr="00307CD3">
        <w:rPr>
          <w:rFonts w:ascii="Times New Roman" w:eastAsia="Times New Roman" w:hAnsi="Times New Roman" w:cs="Times New Roman"/>
          <w:lang w:eastAsia="ru-RU"/>
        </w:rPr>
        <w:t>СКК ФШМ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имеет право принимать решение о том, подходит ли то или иное оборудования для использования в соревнованиях </w:t>
      </w:r>
      <w:r w:rsidRPr="00307CD3">
        <w:rPr>
          <w:rFonts w:ascii="Times New Roman" w:eastAsia="Times New Roman" w:hAnsi="Times New Roman" w:cs="Times New Roman"/>
          <w:lang w:eastAsia="ru-RU"/>
        </w:rPr>
        <w:t>ФШМ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. Комиссия может порекомендовать использовать </w:t>
      </w:r>
      <w:r w:rsidRPr="00307CD3">
        <w:rPr>
          <w:rFonts w:ascii="Times New Roman" w:eastAsia="Times New Roman" w:hAnsi="Times New Roman" w:cs="Times New Roman"/>
          <w:lang w:eastAsia="ru-RU"/>
        </w:rPr>
        <w:t>другой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тип комплекта фигур в дополнение к указанным выше. При необходимости </w:t>
      </w:r>
      <w:r w:rsidRPr="00307CD3">
        <w:rPr>
          <w:rFonts w:ascii="Times New Roman" w:eastAsia="Times New Roman" w:hAnsi="Times New Roman" w:cs="Times New Roman"/>
          <w:lang w:eastAsia="ru-RU"/>
        </w:rPr>
        <w:t>СКК ФШМ</w:t>
      </w:r>
      <w:r w:rsidR="006E4C5D" w:rsidRPr="00307CD3">
        <w:rPr>
          <w:rFonts w:ascii="Times New Roman" w:eastAsia="Times New Roman" w:hAnsi="Times New Roman" w:cs="Times New Roman"/>
          <w:lang w:eastAsia="ru-RU"/>
        </w:rPr>
        <w:t xml:space="preserve"> определит общие условия для другого оборудования, необходимого в шахматных соревнованиях, такого как бланки, демонстрационные доски и т.д. </w:t>
      </w:r>
      <w:bookmarkStart w:id="0" w:name="_GoBack"/>
      <w:bookmarkEnd w:id="0"/>
    </w:p>
    <w:sectPr w:rsidR="000E281E" w:rsidRPr="00307CD3" w:rsidSect="00307CD3">
      <w:pgSz w:w="11900" w:h="16840"/>
      <w:pgMar w:top="567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1C8C"/>
    <w:multiLevelType w:val="multilevel"/>
    <w:tmpl w:val="B20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5D"/>
    <w:rsid w:val="000F5DCC"/>
    <w:rsid w:val="00223D7E"/>
    <w:rsid w:val="00307CD3"/>
    <w:rsid w:val="006E4C5D"/>
    <w:rsid w:val="007165C5"/>
    <w:rsid w:val="00A32AA2"/>
    <w:rsid w:val="00AE7433"/>
    <w:rsid w:val="00B67F1C"/>
    <w:rsid w:val="00D261FB"/>
    <w:rsid w:val="00DE543B"/>
    <w:rsid w:val="00E14087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2CCD"/>
  <w15:chartTrackingRefBased/>
  <w15:docId w15:val="{E77B090D-5698-8044-A06B-9930FCFC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E4C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6E4C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C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E4C5D"/>
    <w:rPr>
      <w:color w:val="0000FF"/>
      <w:u w:val="single"/>
    </w:rPr>
  </w:style>
  <w:style w:type="character" w:styleId="a5">
    <w:name w:val="Strong"/>
    <w:basedOn w:val="a0"/>
    <w:uiPriority w:val="22"/>
    <w:qFormat/>
    <w:rsid w:val="006E4C5D"/>
    <w:rPr>
      <w:b/>
      <w:bCs/>
    </w:rPr>
  </w:style>
  <w:style w:type="character" w:customStyle="1" w:styleId="apple-converted-space">
    <w:name w:val="apple-converted-space"/>
    <w:basedOn w:val="a0"/>
    <w:rsid w:val="006E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9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9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Греков</dc:creator>
  <cp:keywords/>
  <dc:description/>
  <cp:lastModifiedBy>Карен Израэльянц</cp:lastModifiedBy>
  <cp:revision>4</cp:revision>
  <dcterms:created xsi:type="dcterms:W3CDTF">2022-05-29T07:09:00Z</dcterms:created>
  <dcterms:modified xsi:type="dcterms:W3CDTF">2022-06-08T08:04:00Z</dcterms:modified>
</cp:coreProperties>
</file>